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333-294203</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(To Prospectus dated March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160020</wp:posOffset>
            </wp:positionV>
            <wp:extent cx="279463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Up to $75,000,000</w:t>
      </w: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entered into a sales agreement dated May 27, 2026 (the “Sales Agreement”) with Leerink Partners LLC (“Leerink Partners”, or the “Agent”), relating to the issuance and sale of shares of our common stock, $0.0001 par value per share, offered by this prospectus supplement and the accompanying prospectus. In accordance with the terms of the Sales Agreement, under this prospectus supplement, we may offer and sell shares of our common stock having an aggregate offering price of up to $75,000,000 from time to time through Leerink Partners, acting as our sales agent.</w:t>
      </w:r>
    </w:p>
    <w:p>
      <w:pPr>
        <w:spacing w:after="0" w:line="180" w:lineRule="exact"/>
        <w:rPr>
          <w:sz w:val="24"/>
          <w:szCs w:val="24"/>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“NERV.” On May 26, 2026, the last reported sale price of our common stock on Nasdaq was $5.22 per share.</w:t>
      </w:r>
    </w:p>
    <w:p>
      <w:pPr>
        <w:spacing w:after="0" w:line="162" w:lineRule="exact"/>
        <w:rPr>
          <w:sz w:val="24"/>
          <w:szCs w:val="24"/>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by any method permitted that is deemed to be an “at the market offering” as defined in Rule 415(a)(4) promulgated under the Securities Act of 1933, as amended (the “Securities Act”). The Agent is not required to sell any specific number or dollar amount of shares of common stock, but will act as a sales agent using commercially reasonable efforts, consistent with its normal trading and sales practices, on mutually agreed terms between the Agent and us. There is no arrangement for funds to be received in any escrow, trust or similar arrangement.</w:t>
      </w:r>
    </w:p>
    <w:p>
      <w:pPr>
        <w:spacing w:after="0" w:line="183" w:lineRule="exact"/>
        <w:rPr>
          <w:sz w:val="24"/>
          <w:szCs w:val="24"/>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compensation to the Agent for sales of common stock sold pursuant to the Sales Agreement will be an amount equal to 3.0% of the gross proceeds of any shares of common stock sold under the Sales Agreement. In connection with the sale of the common stock on our behalf, the Agent will be deemed to be an “underwriter” within the meaning of the Securities Act and the compensation of the Agent will be deemed to be underwriting commissions or discounts. We have also agreed in the Sales Agreement to provide indemnification and contribution to the Agent with respect to certain liabilities, including liabilities under the Securities Act or the Securities Exchange Act of 1934, as amended (the “Exchange Act”). See “</w:t>
      </w:r>
      <w:r>
        <w:rPr>
          <w:rFonts w:ascii="Times New Roman" w:cs="Times New Roman" w:eastAsia="Times New Roman" w:hAnsi="Times New Roman"/>
          <w:sz w:val="18"/>
          <w:szCs w:val="18"/>
          <w:u w:val="single" w:color="auto"/>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beginning on page S-11 regarding the compensation to be paid to the Agent.</w:t>
      </w:r>
    </w:p>
    <w:p>
      <w:pPr>
        <w:spacing w:after="0" w:line="187" w:lineRule="exact"/>
        <w:rPr>
          <w:sz w:val="24"/>
          <w:szCs w:val="24"/>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under U.S. federal securities laws and, as such, have elected to comply with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1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Please carefully read the information under the headings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S-5 of this prospectus supplement, page 5 of the accompanying prospectus and under similar headings in the documents incorporated by reference herein and therein.</w:t>
      </w:r>
    </w:p>
    <w:p>
      <w:pPr>
        <w:spacing w:after="0" w:line="176" w:lineRule="exact"/>
        <w:rPr>
          <w:sz w:val="24"/>
          <w:szCs w:val="24"/>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Leerink Partners</w:t>
      </w: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27,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gridSpan w:val="4"/>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8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gridSpan w:val="5"/>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28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4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40" w:type="dxa"/>
            <w:vAlign w:val="bottom"/>
            <w:gridSpan w:val="6"/>
          </w:tcPr>
          <w:p>
            <w:pPr>
              <w:spacing w:after="0"/>
              <w:rPr>
                <w:sz w:val="16"/>
                <w:szCs w:val="16"/>
                <w:color w:val="auto"/>
              </w:rPr>
            </w:pPr>
          </w:p>
        </w:tc>
        <w:tc>
          <w:tcPr>
            <w:tcW w:w="2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S-ii</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0"/>
          </w:tcPr>
          <w:p>
            <w:pPr>
              <w:spacing w:after="0"/>
              <w:rPr>
                <w:sz w:val="17"/>
                <w:szCs w:val="17"/>
                <w:color w:val="auto"/>
              </w:rPr>
            </w:pPr>
          </w:p>
        </w:tc>
        <w:tc>
          <w:tcPr>
            <w:tcW w:w="5400" w:type="dxa"/>
            <w:vAlign w:val="bottom"/>
            <w:gridSpan w:val="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90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100" w:type="dxa"/>
            <w:vAlign w:val="bottom"/>
            <w:gridSpan w:val="1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820" w:type="dxa"/>
            <w:vAlign w:val="bottom"/>
            <w:gridSpan w:val="1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64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50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66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80" w:type="dxa"/>
            <w:vAlign w:val="bottom"/>
            <w:gridSpan w:val="4"/>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28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6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46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600" w:type="dxa"/>
            <w:vAlign w:val="bottom"/>
            <w:gridSpan w:val="1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3"/>
          </w:tcPr>
          <w:p>
            <w:pPr>
              <w:spacing w:after="0"/>
              <w:rPr>
                <w:sz w:val="17"/>
                <w:szCs w:val="17"/>
                <w:color w:val="auto"/>
              </w:rPr>
            </w:pPr>
          </w:p>
        </w:tc>
        <w:tc>
          <w:tcPr>
            <w:tcW w:w="336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48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40" w:type="dxa"/>
            <w:vAlign w:val="bottom"/>
            <w:gridSpan w:val="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20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660" w:type="dxa"/>
            <w:vAlign w:val="bottom"/>
            <w:gridSpan w:val="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64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6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3800" w:type="dxa"/>
            <w:vAlign w:val="bottom"/>
            <w:gridSpan w:val="16"/>
            <w:shd w:val="clear" w:color="auto" w:fill="0000EE"/>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50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March 19, 2026 are part of a registration statement on Form S-3 that we filed with the Securities and Exchange Commission (the “SEC”), using a “shelf” registration process. Under this shelf registration process, we may from time to time sell any combination of the securities described in the accompanying prospectus in one or more offerings. Under this prospectus supplement, we may from time to time sell shares of our common stock having an aggregate offering price of up to $75,000,000, at prices and on terms to be determined by market conditions at the time of the offering.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2"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have not, and the Agent has not, authorized anyone to provide you with any information other than that contained or incorporated by reference in this prospectus supplement, the accompanying prospectus or in any free writing prospectus that we have authorized for use in connection with this offering. Neither we nor the Agent take any responsibility for, and can provide no assurance as to the reliability of, any other information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common stock. Our business, financial conditions, liquidity, results of operations and prospects may have changed since those dates. You should carefully read this prospectus supplement, the accompanying prospectus, any free writing prospectus that we have authorized for use in connection with this offering, including the documents incorporated by reference herein or therein, in their entirety before making an investment decision. You should also read and consider the information in the documents to which we have referred you in the sections titled “Where You Can Find Additional Information” and “Incorporation of Certain Information by Reference” in this prospectus supplement and similarly titled sections in the accompanying prospectus.</w:t>
      </w:r>
    </w:p>
    <w:p>
      <w:pPr>
        <w:spacing w:after="0" w:line="18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indicates, all references in this prospectus supplement to “we,” “our,” “us,” “the Company,” “the registrant,” or similar references refer, collectively, to Minerva Neurosciences, Inc., a Delaware corporation. Our principal executive offices are located at 1500 District Avenue Burlington, Massachusetts 01803 and our phone number is (617) 600-7373.</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include trademarks, service marks and trade names owned by us or other companies. All trademarks, service marks and trade names included or incorporated by reference into this prospectus are the property of their respective owners.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obtained the industry and market data used throughout this prospectus supplement, the accompanying prospectus and the documents incorporated by reference herein and therein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the accompanying prospectus and the documents incorporated by reference herein and therein is reliable and based on reasonable assumptions, such data involve material risks and other uncertainties and are subject to change based on various factors, including those discussed in the section entitled “Risk Factors.” These and other factors could cause results to differ materially from those expressed in the estimates made by the independent parties or by us.</w:t>
      </w:r>
    </w:p>
    <w:p>
      <w:pPr>
        <w:spacing w:after="0" w:line="1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80" w:firstLine="426"/>
        <w:spacing w:after="0" w:line="272"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or incorporated by reference into this prospectus supplement. It does not contain all of the information you should consider before making an investment decision. Before you decide to invest in our common stock, you should carefully read and consider the more detailed information included or incorporated by reference in this prospectus supplement, the accompanying prospectus and any free writing prospectus that we have authorized for use in connection with this offering, including the information under the headings “Risk Factors” beginning on page S-5 of this prospectus supplement, page 5 of the accompanying prospectus and under similar headings in the documents incorporated by reference herein and therein . You also should carefully read the other information incorporated by reference into this prospectus supplement and the accompanying prospectus, including our financial statements and related notes, other information and the exhibits to the registration statement of which this prospectus supplement and the accompanying prospectus are a part.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certain proprietary product candidates to treat patients suffering from central nervous system (“CNS”) diseases.</w:t>
      </w:r>
    </w:p>
    <w:p>
      <w:pPr>
        <w:spacing w:after="0" w:line="162"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lead product candidate, roluperidone, is in development for the treatment of negative symptoms in patients diagnosed with schizophrenia. In August 2022, we submitted a New Drug Application (“NDA”) with the U.S. Food and Drug Administration (“FDA”) for roluperidone for the treatment of negative symptoms in schizophrenia. On February 26, 2024, the FDA issued a Complete Response Letter (“CRL”) regarding our NDA for roluperidone. Subsequent to the CRL, we have had multiple interactions with the FDA to confirm the design of an additional Phase 3 confirmatory clinical trial to address the deficiencies cited in the CRL and resubmit the NDA.</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Consistent with the previous Phase 2b (C03) and Phase 3 (C07) clinical trials of roluperidone, the new Phase 3 confirmatory trial, which we refer to as the C19 trial, will include patients diagnosed with schizophrenia who present with stable impairing negative symptoms and stable positive symptoms for the six months prior to entering the trial. We agreed with the FDA that best efforts will be made to secure 25-30% of patients from the United States, subject to competitive recruitment. The FDA confirmed that roluperidone can be studied in monotherapy where patients will receive a double-blinded single daily 64 mg dose of roluperidone or placebo. The FDA advised that, to support a monotherapy indication, it would be necessary to assess relapses on an observational basis for at least 52 weeks, in patients treated in monotherapy with roluperidone, placebo or antipsychotics. The FDA also stated that it would consider a resubmission of the NDA that included a double-blind, placebo- or active-controlled trial of roluperidone with a duration of at least 52 weeks with the efficacy primary endpoint at week 12.</w:t>
      </w:r>
    </w:p>
    <w:p>
      <w:pPr>
        <w:spacing w:after="0" w:line="192"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On March 31, 2026, we announced that the first patient had been screened in the C19 trial. The trial is designed to enroll 380 patients, randomized on a 1:1 basis to receive either placebo or a double-blinded single daily 64 mg dose of roluperidone. The primary efficacy endpoint is expected to be the change from baseline in the PANSS Marder negative symptoms factor score (“NSFS”) at 12 weeks of treatment with roluperidone compared to placebo. Following the initial 12-week treatment period, patients are expected to enter a 52-week relapse assessment phase, during which patients will crossover to receive either a daily 64 mg dose of roluperidone or antipsychotics. Following additional feedback received from the FDA, we revised the design of the relapse assessment phase, extending it from the originally planned 40 weeks to 52 weeks. We currently expect topline efficacy results in the second half of 2027 and relapse assessment data in the second half of 2028.</w:t>
      </w:r>
    </w:p>
    <w:p>
      <w:pPr>
        <w:spacing w:after="0" w:line="189"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In addition, we previously co-developed seltorexant with Janssen Pharmaceutica NV (“Janssen”), a subsidiary of Johnson &amp; Johnson, for the treatment of insomnia disorder and adjunctive treatment of Major</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27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Depressive Disorder (“MDD”). As a result of our collaboration with Janssen,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 To our knowledge, Janssen is currently recruiting patients under a Phase 3 trial with seltorexant.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right="740" w:firstLine="426"/>
        <w:spacing w:after="0" w:line="282" w:lineRule="auto"/>
        <w:rPr>
          <w:sz w:val="20"/>
          <w:szCs w:val="20"/>
          <w:color w:val="auto"/>
        </w:rPr>
      </w:pPr>
      <w:r>
        <w:rPr>
          <w:rFonts w:ascii="Times New Roman" w:cs="Times New Roman" w:eastAsia="Times New Roman" w:hAnsi="Times New Roman"/>
          <w:sz w:val="18"/>
          <w:szCs w:val="18"/>
          <w:color w:val="auto"/>
        </w:rPr>
        <w:t>We were incorporated under the name Cyrenaic Pharmaceuticals, Inc. under the laws of the State of Delaware on April 23, 2007. In November 2013, we merged with Sonkei Pharmaceuticals, Inc. and the combined company was renamed Minerva Neurosciences, Inc.</w:t>
      </w:r>
    </w:p>
    <w:p>
      <w:pPr>
        <w:spacing w:after="0" w:line="162"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1500 District Avenue, Burlington, Massachusetts 01803, and our telephone number is (617) 600-7373. Our website address is www.minervaneurosciences.com. Information contained on or accessible through our website is not a part of this prospectus supplement and the accompanying prospectus, and the inclusion of our website address herein is an inactive textual reference only.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or Exchange Act, which allows us to take advantage of many of the exemptions available to “emerging growth companies” as defined in the Jumpstart Our Business Startups Act of 2012, including not being required to comply with the auditor attestation requirements of Section 404 of the Sarbanes-Oxley Act and reduced disclosure obligations regarding executive compensation.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654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$75,000,000.</w:t>
            </w:r>
          </w:p>
        </w:tc>
      </w:tr>
      <w:tr>
        <w:trPr>
          <w:trHeight w:val="45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w:t>
            </w: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 to 57,992,941 shares (as more fully described in the notes following this table),</w:t>
            </w:r>
          </w:p>
        </w:tc>
      </w:tr>
      <w:tr>
        <w:trPr>
          <w:trHeight w:val="216"/>
        </w:trPr>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immediately after this offering</w:t>
            </w: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assuming sales of 14,150,943 shares of our common stock in this offering at an assumed</w:t>
            </w:r>
          </w:p>
        </w:tc>
      </w:tr>
      <w:tr>
        <w:trPr>
          <w:trHeight w:val="216"/>
        </w:trPr>
        <w:tc>
          <w:tcPr>
            <w:tcW w:w="4040" w:type="dxa"/>
            <w:vAlign w:val="bottom"/>
          </w:tcPr>
          <w:p>
            <w:pPr>
              <w:spacing w:after="0"/>
              <w:rPr>
                <w:sz w:val="18"/>
                <w:szCs w:val="18"/>
                <w:color w:val="auto"/>
              </w:rPr>
            </w:pP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offering price of $5.30 per share, which was the last reported sale price of our shares of</w:t>
            </w:r>
          </w:p>
        </w:tc>
      </w:tr>
      <w:tr>
        <w:trPr>
          <w:trHeight w:val="216"/>
        </w:trPr>
        <w:tc>
          <w:tcPr>
            <w:tcW w:w="4040" w:type="dxa"/>
            <w:vAlign w:val="bottom"/>
          </w:tcPr>
          <w:p>
            <w:pPr>
              <w:spacing w:after="0"/>
              <w:rPr>
                <w:sz w:val="18"/>
                <w:szCs w:val="18"/>
                <w:color w:val="auto"/>
              </w:rPr>
            </w:pP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common stock on Nasdaq on May 21, 2026. The actual number of shares issued will vary</w:t>
            </w:r>
          </w:p>
        </w:tc>
      </w:tr>
      <w:tr>
        <w:trPr>
          <w:trHeight w:val="216"/>
        </w:trPr>
        <w:tc>
          <w:tcPr>
            <w:tcW w:w="4040" w:type="dxa"/>
            <w:vAlign w:val="bottom"/>
          </w:tcPr>
          <w:p>
            <w:pPr>
              <w:spacing w:after="0"/>
              <w:rPr>
                <w:sz w:val="18"/>
                <w:szCs w:val="18"/>
                <w:color w:val="auto"/>
              </w:rPr>
            </w:pP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depending on how many shares of our common stock we choose to sell and the sale prices</w:t>
            </w:r>
          </w:p>
        </w:tc>
      </w:tr>
      <w:tr>
        <w:trPr>
          <w:trHeight w:val="234"/>
        </w:trPr>
        <w:tc>
          <w:tcPr>
            <w:tcW w:w="4040" w:type="dxa"/>
            <w:vAlign w:val="bottom"/>
          </w:tcPr>
          <w:p>
            <w:pPr>
              <w:spacing w:after="0"/>
              <w:rPr>
                <w:sz w:val="20"/>
                <w:szCs w:val="20"/>
                <w:color w:val="auto"/>
              </w:rPr>
            </w:pP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this offering.</w:t>
            </w:r>
          </w:p>
        </w:tc>
      </w:tr>
      <w:tr>
        <w:trPr>
          <w:trHeight w:val="41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Manner of Offering</w:t>
            </w: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“At the market offering” that may be made from time to time through the Agent. See “Plan</w:t>
            </w:r>
          </w:p>
        </w:tc>
      </w:tr>
      <w:tr>
        <w:trPr>
          <w:trHeight w:val="196"/>
        </w:trPr>
        <w:tc>
          <w:tcPr>
            <w:tcW w:w="4040" w:type="dxa"/>
            <w:vAlign w:val="bottom"/>
          </w:tcPr>
          <w:p>
            <w:pPr>
              <w:spacing w:after="0"/>
              <w:rPr>
                <w:sz w:val="17"/>
                <w:szCs w:val="17"/>
                <w:color w:val="auto"/>
              </w:rPr>
            </w:pPr>
          </w:p>
        </w:tc>
        <w:tc>
          <w:tcPr>
            <w:tcW w:w="6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of Distribution” on page S-11 of this prospectus supplement.</w:t>
            </w:r>
          </w:p>
        </w:tc>
        <w:tc>
          <w:tcPr>
            <w:tcW w:w="400" w:type="dxa"/>
            <w:vAlign w:val="bottom"/>
            <w:tcBorders>
              <w:top w:val="single" w:sz="8" w:color="auto"/>
            </w:tcBorders>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6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We currently intend to use the net proceeds of this offering primarily for general corporate</w:t>
            </w:r>
          </w:p>
        </w:tc>
      </w:tr>
      <w:tr>
        <w:trPr>
          <w:trHeight w:val="216"/>
        </w:trPr>
        <w:tc>
          <w:tcPr>
            <w:tcW w:w="4040" w:type="dxa"/>
            <w:vAlign w:val="bottom"/>
          </w:tcPr>
          <w:p>
            <w:pPr>
              <w:spacing w:after="0"/>
              <w:rPr>
                <w:sz w:val="18"/>
                <w:szCs w:val="18"/>
                <w:color w:val="auto"/>
              </w:rPr>
            </w:pP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purposes, which may include clinical trial and other research and development expenses,</w:t>
            </w:r>
          </w:p>
        </w:tc>
      </w:tr>
      <w:tr>
        <w:trPr>
          <w:trHeight w:val="194"/>
        </w:trPr>
        <w:tc>
          <w:tcPr>
            <w:tcW w:w="4040" w:type="dxa"/>
            <w:vAlign w:val="bottom"/>
          </w:tcPr>
          <w:p>
            <w:pPr>
              <w:spacing w:after="0"/>
              <w:rPr>
                <w:sz w:val="16"/>
                <w:szCs w:val="16"/>
                <w:color w:val="auto"/>
              </w:rPr>
            </w:pPr>
          </w:p>
        </w:tc>
        <w:tc>
          <w:tcPr>
            <w:tcW w:w="65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working capital, and general and administrative expenses. See “Use of Proceeds” on</w:t>
            </w:r>
          </w:p>
        </w:tc>
      </w:tr>
      <w:tr>
        <w:trPr>
          <w:trHeight w:val="237"/>
        </w:trPr>
        <w:tc>
          <w:tcPr>
            <w:tcW w:w="4040" w:type="dxa"/>
            <w:vAlign w:val="bottom"/>
          </w:tcPr>
          <w:p>
            <w:pPr>
              <w:spacing w:after="0"/>
              <w:rPr>
                <w:sz w:val="20"/>
                <w:szCs w:val="20"/>
                <w:color w:val="auto"/>
              </w:rPr>
            </w:pPr>
          </w:p>
        </w:tc>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page S-8 of this prospectus supplement.</w:t>
            </w:r>
          </w:p>
        </w:tc>
        <w:tc>
          <w:tcPr>
            <w:tcW w:w="1160" w:type="dxa"/>
            <w:vAlign w:val="bottom"/>
            <w:tcBorders>
              <w:top w:val="single" w:sz="8" w:color="auto"/>
            </w:tcBorders>
          </w:tcPr>
          <w:p>
            <w:pPr>
              <w:spacing w:after="0"/>
              <w:rPr>
                <w:sz w:val="20"/>
                <w:szCs w:val="20"/>
                <w:color w:val="auto"/>
              </w:rPr>
            </w:pPr>
          </w:p>
        </w:tc>
        <w:tc>
          <w:tcPr>
            <w:tcW w:w="780" w:type="dxa"/>
            <w:vAlign w:val="bottom"/>
            <w:gridSpan w:val="2"/>
          </w:tcPr>
          <w:p>
            <w:pPr>
              <w:spacing w:after="0"/>
              <w:rPr>
                <w:sz w:val="20"/>
                <w:szCs w:val="20"/>
                <w:color w:val="auto"/>
              </w:rPr>
            </w:pPr>
          </w:p>
        </w:tc>
      </w:tr>
      <w:tr>
        <w:trPr>
          <w:trHeight w:val="44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Investing in our common stock involves significant risks. See the disclosure under the</w:t>
            </w:r>
          </w:p>
        </w:tc>
      </w:tr>
      <w:tr>
        <w:trPr>
          <w:trHeight w:val="194"/>
        </w:trPr>
        <w:tc>
          <w:tcPr>
            <w:tcW w:w="4040" w:type="dxa"/>
            <w:vAlign w:val="bottom"/>
          </w:tcPr>
          <w:p>
            <w:pPr>
              <w:spacing w:after="0"/>
              <w:rPr>
                <w:sz w:val="16"/>
                <w:szCs w:val="16"/>
                <w:color w:val="auto"/>
              </w:rPr>
            </w:pPr>
          </w:p>
        </w:tc>
        <w:tc>
          <w:tcPr>
            <w:tcW w:w="65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heading “Risk Factors” on page S-5 in this prospectus supplement, page 5 of the</w:t>
            </w:r>
          </w:p>
        </w:tc>
      </w:tr>
      <w:tr>
        <w:trPr>
          <w:trHeight w:val="20"/>
        </w:trPr>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r>
      <w:tr>
        <w:trPr>
          <w:trHeight w:val="218"/>
        </w:trPr>
        <w:tc>
          <w:tcPr>
            <w:tcW w:w="4040" w:type="dxa"/>
            <w:vAlign w:val="bottom"/>
          </w:tcPr>
          <w:p>
            <w:pPr>
              <w:spacing w:after="0"/>
              <w:rPr>
                <w:sz w:val="18"/>
                <w:szCs w:val="18"/>
                <w:color w:val="auto"/>
              </w:rPr>
            </w:pP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accompanying prospectus and under similar headings in other documents incorporated by</w:t>
            </w:r>
          </w:p>
        </w:tc>
      </w:tr>
      <w:tr>
        <w:trPr>
          <w:trHeight w:val="216"/>
        </w:trPr>
        <w:tc>
          <w:tcPr>
            <w:tcW w:w="4040" w:type="dxa"/>
            <w:vAlign w:val="bottom"/>
          </w:tcPr>
          <w:p>
            <w:pPr>
              <w:spacing w:after="0"/>
              <w:rPr>
                <w:sz w:val="18"/>
                <w:szCs w:val="18"/>
                <w:color w:val="auto"/>
              </w:rPr>
            </w:pP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reference into this prospectus supplement for a discussion of certain factors you should</w:t>
            </w:r>
          </w:p>
        </w:tc>
      </w:tr>
      <w:tr>
        <w:trPr>
          <w:trHeight w:val="234"/>
        </w:trPr>
        <w:tc>
          <w:tcPr>
            <w:tcW w:w="4040" w:type="dxa"/>
            <w:vAlign w:val="bottom"/>
          </w:tcPr>
          <w:p>
            <w:pPr>
              <w:spacing w:after="0"/>
              <w:rPr>
                <w:sz w:val="20"/>
                <w:szCs w:val="20"/>
                <w:color w:val="auto"/>
              </w:rPr>
            </w:pP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carefully consider before deciding to invest in shares of our common stock.</w:t>
            </w: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The Nasdaq Capital Market symbol</w:t>
            </w:r>
          </w:p>
        </w:tc>
        <w:tc>
          <w:tcPr>
            <w:tcW w:w="6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Our common stock is currently traded on Nasdaq under the symbol “NERV.”</w:t>
            </w:r>
          </w:p>
        </w:tc>
      </w:tr>
    </w:tbl>
    <w:p>
      <w:pPr>
        <w:spacing w:after="0" w:line="211" w:lineRule="exact"/>
        <w:rPr>
          <w:sz w:val="20"/>
          <w:szCs w:val="20"/>
          <w:color w:val="auto"/>
        </w:rPr>
      </w:pPr>
    </w:p>
    <w:p>
      <w:pPr>
        <w:jc w:val="both"/>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is based on 43,841,998 shares of common stock outstanding as of March 31, 2026, and excludes:</w:t>
      </w:r>
    </w:p>
    <w:p>
      <w:pPr>
        <w:spacing w:after="0" w:line="67" w:lineRule="exact"/>
        <w:rPr>
          <w:sz w:val="20"/>
          <w:szCs w:val="20"/>
          <w:color w:val="auto"/>
        </w:rPr>
      </w:pPr>
    </w:p>
    <w:p>
      <w:pPr>
        <w:ind w:left="1240" w:right="20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8,985,678 shares of our common stock issuable upon the exercise of stock options outstanding as of March 31, 2026, at a weighted-average exercise price of $4.87 per share;</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217,495 shares of our common stock potentially issuable upon the settlement of performance-based restricted stock units outstanding as of March 31, 2026;</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5,044,631 shares of our common stock reserved for future issuance under our Amended and Restated 2013 Equity Incentive Plan as of March 31, 2026;</w:t>
      </w:r>
    </w:p>
    <w:p>
      <w:pPr>
        <w:spacing w:after="0" w:line="67" w:lineRule="exact"/>
        <w:rPr>
          <w:rFonts w:ascii="Times New Roman" w:cs="Times New Roman" w:eastAsia="Times New Roman" w:hAnsi="Times New Roman"/>
          <w:sz w:val="18"/>
          <w:szCs w:val="18"/>
          <w:color w:val="auto"/>
        </w:rPr>
      </w:pPr>
    </w:p>
    <w:p>
      <w:pPr>
        <w:ind w:left="1240" w:right="76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575,575 shares of common stock issuable upon the exercise of pre-funded warrants to purchase shares of our common stock outstanding as of March 31, 2026, at a weighted-average exercise price of $0.01 per share;</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035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2035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1,559,008 shares of our common stock issuable upon the conversion of 3,296 shares of our Series A convertible preferred stock (the “Series A preferred stock”), outstanding as of March 31, 2026;</w:t>
      </w:r>
    </w:p>
    <w:p>
      <w:pPr>
        <w:spacing w:after="0" w:line="67"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37,272,400 shares of our common stock issuable upon the exercise (and subsequent conversion) of tranche A warrants to purchase an aggregate of 78,800 shares of Series A preferred stock outstanding as of March 31, 2026, at a weighted-average exercise price of $1,000 per share of Series A preferred stock; and</w:t>
      </w:r>
    </w:p>
    <w:p>
      <w:pPr>
        <w:spacing w:after="0" w:line="81"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18,920,000 shares of our common stock potentially issuable upon the exercise (and subsequent conversion) of tranche B warrants to purchase an aggregate of 40,000 shares of Series A preferred stock outstanding as of March 31, 2026, at a weighted-average exercise price of $1,000 per share of Series A preferred stock.</w:t>
      </w:r>
    </w:p>
    <w:p>
      <w:pPr>
        <w:spacing w:after="0" w:line="176"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and the accompanying prospectus assumes no exercise of the outstanding options or warrants referred to above, no vesting and settlement of the outstanding performance-based restricted stock units referred to above, no conversion of the outstanding Series A preferred stock.</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80"/>
          </w:cols>
          <w:pgMar w:left="320" w:top="455" w:right="6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Investment in the shares of common stock offered pursuant to this prospectus supplement and the accompanying prospectus involves a high degree of risk. You should carefully consider the risk factors described below, as well as the risk factors described under the caption “Risk Factors” in our most recent Annual Report on Form 10-K and Quarterly Report on Form 10-Q, and the other information contained or incorporated by reference in this prospectus supplement and the accompanying prospectus, including our financial statements and the related notes, as may be updated by our subsequent filings under the Exchange Act, and in any free writing prospectus that we have authorized for use in connection with this offering before acquiring shares of our common stock. The occurrence of any of these risks could have a material and adverse impact on our business, results of operations, financial condition and growth prospects, which may cause the trading price of our common stock to decline and you could lose all or part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Our failure to apply these funds effectively could have a material adverse effect on our business and cause the price of our common stock to decline.</w:t>
      </w:r>
    </w:p>
    <w:p>
      <w:pPr>
        <w:spacing w:after="0" w:line="29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sold in this offering, you may experience immediate and substantial dilution in the net tangible book value of your shares.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outstanding common stock prior to this offering. Assuming that an aggregate of 14,150,943 shares of our common stock are sold at an assumed offering price of $5.30 per share, the last reported sale price of our common stock on Nasdaq on May 21, 2026, for aggregate gross proceeds of approximately $75,000,000, and after deducting commissions and estimated offering expenses payable by us, new investors in this offering will incur immediate dilution of $8.60 per share. For a more detailed discussion of the foregoing, see the section entitled “Dilution” below.</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have a significant number of stock options, performance-based restricted stock units and warrants outstanding. To the extent that any options or warrants are exercised, any restricted stock units vest and are settled, any new equity awards are issued under our equity incentive plans, or we otherwise issue additional shares of common stock in the future (including shares issued in connection with strategic and other transactions), there will be further dilution to new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if we issue additional equity securities in future fundraising transactions.</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our common stock, or the perception of such sales, could cause the market price of our common stock to drop significantly, even if our business is doing well.</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or cause it to be highly volatile and impair our ability to raise capital through the sale of additional equity securities. A substantial number of shares of common stock are being offered by this prospectus supplement, and we cannot predict if and when shares sold in this offering, if any, will be resold in the public markets. We cannot predict the number of these shares that might be resold nor the effect that future sales of our shares of common stock would have on the market price of shares of our common stock.</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and aggregate proceeds resulting from those sales, at any one time or in total, is uncertain.</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Agent at any time throughout the term of the Sales Agreement. The number of shares that are sold through the Agent after delivering a placement notice will fluctuate based on a number of factors including the market price of the common stock during the sales period, limits we set with the Agent and demand for our common stock. Because the price per share of each share sold will fluctuate based on the market price of our common stock during the sales period, it is not possible at this stage to predict the number of shares that will be ultimately issued or the aggregate proceeds to be raised in connection with sales under the Sales Agreement.</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including different levels of dilution. We will have discretion, subject to market demand, to vary the timing, prices, and numbers of shares sold, and there is no minimum or maximum sale price. Investors may experience a decline in the value of their shares as a result of share sales made at prices lower than the prices they paid.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contain forward-looking statements within the meaning of Section 27A of the Securities Act of 1933, as amended, or the Securities Act, and Section 21E of the Exchange Act, and the Private Securities Litigation Reform Act of 1995, as amended, that involve substantial risks and uncertainties. All statements other than statements of historical facts contained in this prospectus, including, but not limited to, statements regarding the clinical development of roluperidone for the treatment of negative symptoms of schizophrenia; the potential benefits of roluperidone for the treatment of negative symptoms of schizophrenia or any other indication; the adequacy and efficacy of our clinical trials and studies with roluperidone, and the sufficiency of the data from such trials and studies to support marketing application; our interpretation of the feedback from the U.S. Food and Drug Administration (the “FDA”); the timing and outcomes of future interactions with U.S. and foreign regulatory bodies, including the FDA; our expectations regarding the potential market size and size of the potential patient populations for roluperidone, if approved; the timing and likelihood of success, plans and objectives of management for future operations; and our expected future financing needs.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the accompanying prospectus or the documents incorporated by reference in this prospectus supplement, as applicable, and are subject to a number of risks, uncertainties and assumptions described under the sections in this prospectus supplement, the accompanying prospectus and the documents incorporated by reference herein entitled “Risk Factors” and “Management’s Discussion and Analysis of Financial Condition and Results of Operations” and elsewhere in this prospectus supplement, the accompanying prospectus and the documents incorporated by reference herein.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 after the date of this prospectus supplement. See the section titled “Where You Can Find Additional Information.”</w:t>
      </w:r>
    </w:p>
    <w:p>
      <w:pPr>
        <w:spacing w:after="0" w:line="19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supplement,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$75,000,000 from time to time under this prospectus supplement.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as a source of financing.</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general corporate purposes, which may include clinical trial and other research and development expenses, working capital, and general and administrative expenses. We may also use a portion of the net proceeds from this offering for potential acquisitions of or investments in businesses, products, and technologies that complement our business, although we have no present commitments or agreements to make any such acquisitions or investments.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“Risk Factors” in this prospectus supplement, the accompanying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short-term, interest-bearing obligations, investment-grade instruments or certificates of deposit.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your ownership interest will be diluted to the extent of the difference between the price per share you pay in this offering and the net tangible book value (deficit) per share of our common stock immediately after this offering. The net tangible book value of our common stock as of March 31, 2026 was $(263.9) million, or $(6.02) per share of common stock based upon 43,841,998 shares outstanding. Net tangible book value per share is equal to our total tangible assets, less our total liabilities, divided by the total number of shares outstanding as of March 31, 2026.</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common stock in the aggregate amount of $75.0 million at an assumed offering price of $5.30 per share, the last reported sale price of our common stock on Nasdaq on May 21, 2026, and after deducting commissions and estimated offering expenses payable by us, our as adjusted net tangible book value (deficit) as of March 31, 2026 would have been $(191.4) million, or $(3.30) per share of common stock. This represents an immediate increase in net tangible book value of $2.72 per share to our existing stockholders and an immediate dilution in net tangible book value of $8.60 per share to new investors in this offering at the assumed offering price.</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illustrates this calculation on a per share basis. The as-adjusted information is illustrative only and will vary based on the actual price to the public, the actual number of shares sold and other terms of the offering determined at the time shares of our common stock are sold pursuant to this prospectus supplement. The as-adjusted information assumes that all of our common stock in the aggregate amount of $75.0 million is sold at the assumed offering price of $5.30 per share, the last reported sale price of our common stock on Nasdaq on May 21, 2026. The shares sold in this offering, if any, will be sold from time to time at various prices.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2300" w:type="dxa"/>
            <w:vAlign w:val="bottom"/>
            <w:gridSpan w:val="5"/>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$ 5.30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March 31, 2026</w:t>
            </w:r>
          </w:p>
        </w:tc>
        <w:tc>
          <w:tcPr>
            <w:tcW w:w="17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$(6.02)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w:t>
            </w:r>
          </w:p>
        </w:tc>
        <w:tc>
          <w:tcPr>
            <w:tcW w:w="17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$ 2.72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(deficit) per share, after this offering</w:t>
            </w:r>
          </w:p>
        </w:tc>
        <w:tc>
          <w:tcPr>
            <w:tcW w:w="7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w:t>
            </w:r>
          </w:p>
        </w:tc>
      </w:tr>
      <w:tr>
        <w:trPr>
          <w:trHeight w:val="27"/>
        </w:trPr>
        <w:tc>
          <w:tcPr>
            <w:tcW w:w="6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shares in this offering</w:t>
            </w:r>
          </w:p>
        </w:tc>
        <w:tc>
          <w:tcPr>
            <w:tcW w:w="1720" w:type="dxa"/>
            <w:vAlign w:val="bottom"/>
            <w:gridSpan w:val="3"/>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$ 8.60</w:t>
            </w:r>
          </w:p>
        </w:tc>
      </w:tr>
      <w:tr>
        <w:trPr>
          <w:trHeight w:val="20"/>
        </w:trPr>
        <w:tc>
          <w:tcPr>
            <w:tcW w:w="6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increase of $1.00 per share in the price at which the shares are sold from the assumed offering price of $6.30 per share shown in the table above, assuming that all of our common stock in the aggregate amount of $75.0 million during the term of the Sales Agreement with the Agent is sold at that price, would increase our as adjusted net tangible book value (deficit) per share to $(3.43) and would increase the dilution in net tangible book value per share to new investors in this offering to $9.73, after deducting commissions and estimated offering expenses payable by us. A decrease of $1.00 per share in the price at which the shares are sold from the assumed offering price of $4.30 per share shown in the table above, assuming all of our common stock in the aggregate amount of $75.0 million during the term of the Sales Agreement with the Agent is sold at that price, would decrease our as adjusted net tangible book value (deficit) per share to $(3.12) and would decrease the dilution in net tangible book value per share to new investors in this offering to $7.42, after deducting commissions and estimated offering expenses payable by us.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is based on 43,841,998 shares of common stock outstanding as of March 31, 2026, and excludes:</w:t>
      </w:r>
    </w:p>
    <w:p>
      <w:pPr>
        <w:spacing w:after="0" w:line="67" w:lineRule="exact"/>
        <w:rPr>
          <w:sz w:val="20"/>
          <w:szCs w:val="20"/>
          <w:color w:val="auto"/>
        </w:rPr>
      </w:pPr>
    </w:p>
    <w:p>
      <w:pPr>
        <w:ind w:left="1080" w:right="5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8,985,678 shares of our common stock issuable upon the exercise of stock options outstanding as of March 31, 2026, at a weighted-average exercise price of $4.87 per share;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217,495 shares of our common stock potentially issuable upon the settlement of performance-based restricted stock units outstanding as of March 31, 2026;</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5,044,631 shares of our common stock reserved for future issuance under our Amended and Restated 2013 Equity Incentive Plan as of March 31, 2026;</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575,575 shares of common stock issuable upon the exercise of pre-funded warrants to purchase shares of our common stock outstanding as of March 31, 2026, at a weighted-average exercise price of $0.01 per share;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1,559,008 shares of our common stock issuable upon the conversion of 3,296 shares of our Series A preferred stock, outstanding as of March 31, 2026;</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37,272,400 shares of our common stock issuable upon the exercise (and subsequent conversion) of tranche A warrants to purchase an aggregate of 78,800 shares of Series A preferred stock outstanding as of March 31, 2026, at a weighted-average exercise price of $1,000 per share of Series A preferred stock;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18,920,000 shares of our common stock potentially issuable upon the exercise (and subsequent conversion) of tranche B warrants to purchase an aggregate of 40,000 shares of Series A preferred stock outstanding as of March 31, 2026, at a weighted-average exercise price of $1,000 per share of Series A preferred stock.</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and the accompanying prospectus assumes no exercise of the outstanding options or warrants referred to above, no vesting and settlement of the outstanding performance-based restricted stock units referred to above, no conversion of the outstanding Series A preferred stock.</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any options or warrants are exercised, any performance-based restricted stock units vest and are settled, any new equity awards are issued under our equity incentive plans, you may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entered into the Sales Agreement with the Agent relating to the sale of shares of our common stock offered by this prospectus supplement. Under this prospectus supplement, in accordance with the terms of the Sales Agreement, we may sell shares of our common stock for an aggregate offering price of up to $75,000,000 from time to time through the Agent, acting as Agent, subject to certain limitations, including the number or dollar amount of shares registered under the registration statement to which the offering relates. The sales, if any, of shares made under the Sales Agreement will be made by any method that is deemed an “at the market offering” as defined in Rule 415(a)(4) promulgated under the Securities Act, including sales made directly on Nasdaq or any other trading market for our common stock. The below description of the Sales Agreement does not purport to be a complete statement of its terms and conditions. We or the Agent may suspend the offering of common stock upon notice and subject to other conditions.</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time we wish to issue and sell common stock under the Sales Agreement, we will notify the Agent of the number or dollar value of shares to be issued, the dates on which such sales are anticipated to be made, any minimum price below which sales may not be made and other sales parameters as we deem appropriate. Once we have so instructed the Agent, unless it declines to accept the terms of the notice, the Agent has agreed to use its commercially reasonable efforts consistent with its normal trading and sales practices to sell such shares up to the amount specified on such terms. The obligation of the Agent under the Sales Agreement to sell our common stock is subject to a number of conditions that we must meet.</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pay the Agent an aggregate commission equal to 3.0% of the gross proceeds from each sale of shares through the Agent. In addition, we have agreed to reimburse certain expenses of the Agent in an amount not to exceed $75,000 in connection with the establishment of this “at the market offering” in addition to certain ongoing disbursements of its legal counsel. In accordance with Financial Industry Regulatory Authority, Inc. Rule 5110, these fees and reimbursed expenses are deemed sales compensation in connection with this offering. We estimate that the total expenses for the offering, excluding compensation payable to the Agent under the terms of the Sales Agreement, will be approximately $250,000.</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Settlement for sales of common stock will generally occur on the first trading day following the date on which any sales are made, or on some other date that is agreed upon by us and the Agent in connection with a particular transaction, in return for payment of the net proceeds to us. Sales of our common shares as contemplated in this prospectus supplement will be settled through the facilities of the Depository Trust Company or by such other means as we and the Agent may agree upon. There is no arrangement for funds to be received in an escrow, trust or similar arrangement.</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on our behalf, the Agent will be deemed to be an “underwriter” within the meaning of the Securities Act and the compensation of the Agent will be deemed to be underwriting commissions or discounts. We have agreed to provide indemnification and contribution to the Agent against certain civil liabilities, including liabilities under the Securities Act. We have also agreed to reimburse the Agent for certain other specified expenses.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offering of our common stock pursuant to this prospectus supplement will terminate upon the earlier of (i) the sale of all of our common stock provided for in this prospectus supplement or (ii) termination of the Sales Agreement as provided therein. We and the Agent have the right, by giving prior notice as specified in the Sales Agreement, to terminate the Sales Agreement in each party’s sole discretion.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“NERV.” The transfer agent for our common stock is Computershare Trust Company, N.A.</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Agent and its respective affiliates may in the future provide various investment banking and other financial services for us and our affiliates, for which services they may in the future receive customary fees. To the extent required by Regulation M, the Agent will not engage in any market making activities involving our common stock while the offering is ongoing under this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34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common stock offered by this prospectus supplement will be passed upon by Cooley LLP, Boston, Massachusetts. Covington &amp; Burling LLP, New York, New York, is counsel to Leerink Partners LLC in connection with this offering.</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Minerva Neurosciences, Inc. as of December 31, 2025 and 2024, and for each of the two years in the period ended December 31, 2025, incorporated by reference in this prospectus supplement have been audited by Deloitte &amp; Touche LLP, an independent registered public accounting firm, as stated in their report. Such financial statements are incorporated in reliance upon the report of such firm given their authority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www.sec.gov.</w:t>
      </w:r>
    </w:p>
    <w:p>
      <w:pPr>
        <w:spacing w:after="0" w:line="14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website address is www.minervaneurosciences.com. The information on our website, however, is not, and should not be deemed to be, a part of this prospectus supplement.</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SEC and does not contain all of the information in the registration statement and the exhibits to the registration statement. The full registration statement may be obtained from the SEC or us, as provided below. Statements in this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considered to be part of this prospectus supplement and the accompanying prospectus. Information in this prospectus supplement and the accompanying prospectus supersedes information incorporated by reference that we filed with the SEC prior to the date of this prospectus supplement and the accompanying prospectus, while information that we file later with the SEC will automatically update and supersede the information in this prospectus supplement and the accompanying prospectus. We incorporate by reference into this prospectus supplement, the accompanying prospectus and the registration statement of which this prospectus supplement and the accompanying prospectus are a part the information or documents listed below that we have filed with the SEC, excluding any portions of any Form 8-K that are not deemed “filed” pursuant to the General Instructions of Form 8-K, unless indicated otherwise:</w:t>
      </w:r>
    </w:p>
    <w:p>
      <w:pPr>
        <w:spacing w:after="0" w:line="7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11, 2026;</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fiscal year ended December 31, 2025 from our definitive proxy statement on </w:t>
      </w:r>
      <w:hyperlink r:id="rId33">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23, 2026;</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w:t>
      </w:r>
      <w:hyperlink r:id="rId35">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 filed with the SEC on May 5,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6">
        <w:r>
          <w:rPr>
            <w:rFonts w:ascii="Times New Roman" w:cs="Times New Roman" w:eastAsia="Times New Roman" w:hAnsi="Times New Roman"/>
            <w:sz w:val="18"/>
            <w:szCs w:val="18"/>
            <w:u w:val="single" w:color="auto"/>
            <w:color w:val="0000EE"/>
          </w:rPr>
          <w:t>February 3, 2026</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April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8">
        <w:r>
          <w:rPr>
            <w:rFonts w:ascii="Times New Roman" w:cs="Times New Roman" w:eastAsia="Times New Roman" w:hAnsi="Times New Roman"/>
            <w:sz w:val="18"/>
            <w:szCs w:val="18"/>
            <w:u w:val="single" w:color="auto"/>
            <w:color w:val="0000EE"/>
          </w:rPr>
          <w:t>April 6,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
        </w:numPr>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auto"/>
          </w:rPr>
          <w:t xml:space="preserve">the description of our common stock in our registration statement on </w:t>
        </w:r>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color w:val="auto"/>
          </w:rPr>
          <w:t xml:space="preserve"> filed with the SEC on June 23, 2014, as updated by </w:t>
        </w:r>
        <w:r>
          <w:rPr>
            <w:rFonts w:ascii="Times New Roman" w:cs="Times New Roman" w:eastAsia="Times New Roman" w:hAnsi="Times New Roman"/>
            <w:sz w:val="18"/>
            <w:szCs w:val="18"/>
            <w:u w:val="single" w:color="auto"/>
            <w:color w:val="0000EE"/>
          </w:rPr>
          <w:t>Exhibit</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our Annual Report on Form 10-K for the year ended December 31, 2025, filed with the SEC on March 11, 2026, including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prior to the termination of this offering. Information in such future filings updates and supplements the information provided in this prospectus supplement and the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7"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supplement or the accompanying prospectus but not delivered with either document, including exhibits which are specifically incorporated by reference into such documents. You should direct any requests for documents by writing us at 1500 District Avenue Burlington, MA 01803, or by telephoning us at (617) 600-7373.</w:t>
      </w:r>
    </w:p>
    <w:p>
      <w:pPr>
        <w:spacing w:after="0" w:line="112"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173990</wp:posOffset>
            </wp:positionV>
            <wp:extent cx="2760345" cy="711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276034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9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offer and sell up to $200,000,000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6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75"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the federal securities laws and, as such, are subject to reduced public company reporting requirements. See “Prospectus Summary—Implications of Being a Smaller Reporting Company.”</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“NERV.” On March 10, 2026, the last reported sales price of our common stock was $7.94 per share. The applicable prospectus supplement will contain information, where applicable, as to any other listing on The Nasdaq Capital Market or any securities market or other exchange of the securities, if any, covered by the prospectus supplement.</w:t>
      </w:r>
    </w:p>
    <w:p>
      <w:pPr>
        <w:spacing w:after="0" w:line="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options to purchase additional securities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7" w:lineRule="exact"/>
        <w:rPr>
          <w:sz w:val="20"/>
          <w:szCs w:val="20"/>
          <w:color w:val="auto"/>
        </w:rPr>
      </w:pPr>
    </w:p>
    <w:p>
      <w:pPr>
        <w:ind w:left="120" w:right="480" w:firstLine="551"/>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i w:val="1"/>
          <w:iCs w:val="1"/>
          <w:color w:val="auto"/>
        </w:rPr>
        <w:t>” contained in this prospectus beginning on page 5 and any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19, 2026.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(the “SEC”), utilizing a “shelf” registration process. Under this shelf registration statement, we may sell any combination of the securities described in this prospectus in one or more offerings up to a total aggregate offering price of $200,000,000. This prospectus provides you with a general description of the securities we may offer.</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carefully read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investing in any of the securities offered.</w:t>
      </w:r>
    </w:p>
    <w:p>
      <w:pPr>
        <w:spacing w:after="0" w:line="293"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assume that the information in this prospectus, any applicable prospectus supplement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in the section titled “Where You Can Find More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all references in this prospectus to “we,” “our,” “us,” “the Company,” “the registrant,” or similar references refer, collectively, to Minerva Neurosciences, Inc., a Delaware corporation.</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herein include trademarks, service marks and trade names owned by us or other companies. All trademarks, service marks and trade names included or incorporated by reference into this prospectus are the property of their respective owners.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4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summary highlights selected information contained or incorporated by reference elsewhere in this prospectus and does not contain all of the information that you need to consider in making your investment decision. Before investing in our securities, you should carefully read this entire prospectus, the applicable prospectus supplement and any related free writing prospectus, including the information under the caption “Risk Factors” contained in this prospectus (as supplemented and amended) and under similar headings in the other documents that are incorporated by reference into this prospectus. You should also carefully read the other information incorporated by reference into this prospectus, including our financial statements and the related notes, and the exhibits to the registration statement of which this prospectus is a part.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certain proprietary product candidates to treat patients suffering from central nervous system diseases.</w:t>
      </w:r>
    </w:p>
    <w:p>
      <w:pPr>
        <w:spacing w:after="0" w:line="162"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Our lead product candidate, roluperidone, is in development for the treatment of negative symptoms in patients diagnosed with schizophrenia. Subject to ongoing feedback from the U.S. Food and Drug Administration (the “FDA”), we expect to initiate a new Phase 3 confirmatory trial of roluperidone in schizophrenia, which we refer to as the C19 trial, in the second quarter of 2026. The C19 trial is designed to enroll 380 patients, randomized on a 1:1 basis to receive either placebo or a double-blinded single daily 64 mg dose of roluperidone. The primary efficacy endpoint is expected to be the change from baseline in the PANSS Marder negative symptoms factor score (NSFS) at 12 weeks of treatment with roluperidone compared to placebo. Following the initial 12-week treatment period, patients are expected to enter a 40-week relapse assessment phase, during which patients will crossover to receive either a daily 64 mg dose of roluperidone or antipsychotics. We currently expect topline efficacy results in the second half of 2027 and relapse assessment data in the second half of 2028.</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addition, we previously co-developed seltorexant with Janssen Pharmaceutica NV (“Janssen”), a subsidiary of Johnson &amp; Johnson, for the treatment of insomnia disorder and adjunctive treatment of Major Depressive Disorder. As a result of our collaboration with Janssen, we were entitled to collect royalties in the mid-single digits on potential future worldwide sales of seltorexant in certain indications, with no further financial obligations to Janssen. In January 2021, we sold our rights to these potential royalties to Royalty Pharma plc for a $60 million cash payment and up to an additional $95 million in potential future milestone payments, subject to completion of Phase 3 trials by Janssen and regulatory approvals.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right="740" w:firstLine="426"/>
        <w:spacing w:after="0" w:line="282" w:lineRule="auto"/>
        <w:rPr>
          <w:sz w:val="20"/>
          <w:szCs w:val="20"/>
          <w:color w:val="auto"/>
        </w:rPr>
      </w:pPr>
      <w:r>
        <w:rPr>
          <w:rFonts w:ascii="Times New Roman" w:cs="Times New Roman" w:eastAsia="Times New Roman" w:hAnsi="Times New Roman"/>
          <w:sz w:val="18"/>
          <w:szCs w:val="18"/>
          <w:color w:val="auto"/>
        </w:rPr>
        <w:t>We were incorporated under the name Cyrenaic Pharmaceuticals, Inc. under the laws of the State of Delaware on April 23, 2007. In November 2013, we merged with Sonkei Pharmaceuticals, Inc. and the combined company was renamed Minerva Neurosciences, Inc.</w:t>
      </w:r>
    </w:p>
    <w:p>
      <w:pPr>
        <w:spacing w:after="0" w:line="162"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1500 District Avenue Burlington, Massachusetts 01803 and our phone number is (617) 600-7373. Our website address is www.minervaneurosciences.com. Our website and the information contained on, or that can be accessed through, our website will not be deemed to be incorporated by reference in, and are not considered part of,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(the “Exchange Act”), which allows us to take advantage of many of the exemptions available to “emerging growth companies” as defined in the Jumpstart Our Business Startups Act of 2012, including not being required to</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7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comply with the auditor attestation requirements of Section 404 of the Sarbanes-Oxley Act and reduced disclosure obligations regarding executive compensation.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shares of our preferred stock, various series of debt securities and/or warrants to purchase any of such securities, either individually or in combination, up to a total aggregate offering price of $200,000,000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93"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130"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Any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87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options to purchase additional securities,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221" w:lineRule="exact"/>
        <w:rPr>
          <w:sz w:val="20"/>
          <w:szCs w:val="20"/>
          <w:color w:val="auto"/>
        </w:rPr>
      </w:pPr>
    </w:p>
    <w:p>
      <w:pPr>
        <w:ind w:left="300" w:right="120" w:firstLine="42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We may issue shares of our common stock from time to time. Holders of our common stock are entitled to one vote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our common stock or any other securities convertible into shares of common stock, or any redemption rights.</w:t>
      </w:r>
    </w:p>
    <w:p>
      <w:pPr>
        <w:spacing w:after="0" w:line="182"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We may issue shares of our preferred stock from time to time, in one or more series. Under our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as amended, or our amended and restated certificate of incorporation, our board of directors has the authority, without further action by the stockholders, to issue up to 100,000,000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6"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85" w:lineRule="exact"/>
        <w:rPr>
          <w:sz w:val="20"/>
          <w:szCs w:val="20"/>
          <w:color w:val="auto"/>
        </w:rPr>
      </w:pPr>
    </w:p>
    <w:p>
      <w:pPr>
        <w:ind w:left="300" w:right="40" w:firstLine="4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We may issue debt securities from time to time, in one or more series, as either senior or subordinated debt or as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w:t>
      </w:r>
    </w:p>
    <w:p>
      <w:pPr>
        <w:spacing w:after="0" w:line="183"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5" w:lineRule="exact"/>
        <w:rPr>
          <w:sz w:val="20"/>
          <w:szCs w:val="20"/>
          <w:color w:val="auto"/>
        </w:rPr>
      </w:pPr>
    </w:p>
    <w:p>
      <w:pPr>
        <w:ind w:left="300" w:firstLine="4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stock, preferred stock and/or debt securities in one or more series. We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 warrants independently or together with common stock, preferred stock and/or debt securities, and the warrants may be attached to or separate from these securities. In this prospectus, we</w:t>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274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spacing w:after="0" w:line="187" w:lineRule="exact"/>
        <w:rPr>
          <w:sz w:val="20"/>
          <w:szCs w:val="20"/>
          <w:color w:val="auto"/>
        </w:rPr>
      </w:pPr>
    </w:p>
    <w:p>
      <w:pPr>
        <w:jc w:val="both"/>
        <w:ind w:left="300" w:right="440" w:firstLine="426"/>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We will set forth in the applicable prospectus supplement or free writing prospectus our intended use for the net proceeds received from the sale of any securities sold pursuant to the prospectus supplement or free writing. See “Use of Proceeds” in this prospectus.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symbols “NERV”. The applicable prospectus supplement will contain information, where applicable, as to other listings, if any, on The Nasdaq Capital Market or any other securities market or other exchange of the securities covered by the applicable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in the section titled “Risk Factors” contained in the applicable prospectus supplement and any related free writing prospectus, and described under the section titled “Risk Factors” contained in our most recent Annual Report on Form 10-K and subsequent Quarterly Reports on Form 10-Q, as well as any amendments thereto reflected in subsequent filings with the SEC, which are incorporated by reference into this prospectus and any applicable prospectus supplement in their entirety, together with other information in this prospectus, the documents incorporated by reference and any free writing prospectus that we may authorize for use in connection with a specific offering. See the sections titled “Where You Can Find More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“Special Note Regarding Forward-Looking Statements.”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documents incorporated by reference in this prospectus and each prospectus supplement contain forward-looking statements about us and our industry that involve substantial risks and uncertainties. All statements other than statements of historical facts contained or incorporated in this prospectus and any related prospectus supplement,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Within the meaning of Section 27A of the Securities Act, and Section 21E of the Exchange Act, these forward-looking statements include, but are not limited to, statements concerning the following:</w:t>
      </w:r>
    </w:p>
    <w:p>
      <w:pPr>
        <w:spacing w:after="0" w:line="97" w:lineRule="exact"/>
        <w:rPr>
          <w:sz w:val="20"/>
          <w:szCs w:val="20"/>
          <w:color w:val="auto"/>
        </w:rPr>
      </w:pPr>
    </w:p>
    <w:p>
      <w:pPr>
        <w:jc w:val="both"/>
        <w:ind w:left="1080" w:right="12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clinical trials of our lead product candidate, roluperidone, and any other product candidates that we may develop in the future, including statements regarding the timing and pace of initiation, enrollment and completion of studies or trials and related preparatory work, the period during which the results of the trials will become available and plans with respect to our research and development programs;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clinical manufacturing capabilities and efforts;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roluperidone and any other product candidates for any indication;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market acceptance and opportunity for and clinical utility of our product candidates, if approved for commercial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any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 including executive officers and members of management;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marketable securities will be sufficient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or incorporated by reference into, this prospectus primarily on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or incorporated by reference into, the sections titled “Risk Factors” in this prospectus and any applicable prospectus supplement and the sections titled “Risk Factors” and “Management’s Discussion and Analysis of Financial Condition and Results of Operations” in our most recent Annual Report on Form 10-K and any subsequent Quarterly Reports on Form 10-Q, as well as any amendments thereto reflected in subsequent filings with the SEC, which are incorporated into this prospectus and any applicable prospectus supplement. Moreover, we operate in a very competitive and rapidly changing environment. New risks and uncertainties emerge from time to time, and it is not possible for us to predict all risks and uncertainties that could have an impact on the forward-looking statements contained in, or incorporated by reference into,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or incorporated by reference into, this prospectus and any related prospectus supplement relate only to events as of the date on which the statements are made. We undertake no obligation to update any forward-looking statements made or incorporated by reference in this prospectus and any related prospectus supplement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general corporate purposes, which may include clinical trial and other research and development expenses, working capital, and general and administrative expenses. We may also use a portion of the net proceeds to invest in or acquire businesses, products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short-term, investment-grade, interest-bearing instruments.</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of certain provisions of our amended and restated certificate of incorporation and amended and restated bylaws, and of certain provisions of Delaware law, together with the additional information we include in any applicable prospectus supplement and in any related free writing prospectus, summarizes the material terms and provisions of our capital stock. The following description of our capital stock is a summary and does not purport to be complete and is subject to, and qualified in its entirety by reference to our amended and restated certificate of incorporation and our amended and restated bylaws, which are filed as exhibits to the registration statement of which this prospectus forms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250,000,000 shares of common stock, $0.0001 par value per share, 100,000,000 shares of preferred stock, $0.0001 par value per share, of which 200,000 shares have been designated as Series A Convertible Voting Preferred Stock, $0.0001 par value per share (“Series A Preferred Stock”).</w:t>
      </w:r>
    </w:p>
    <w:p>
      <w:pPr>
        <w:spacing w:after="0" w:line="176"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As of February 28, 2026, there were 43,274,398 shares of our common stock outstanding and 3,296 shares of Series A Preferred Stock outstanding, which are convertible into 1,559,008 shares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our common stock is entitled to one vote for each share of common stock on all matters submitted to a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including the election of directors. The holders of our common stock do not have cumulative voting rights. Because of this, the holders of a majority of the shares of common stock entitled to vote in any election of directors can elect all of the directors standing for election, if they should so choose.</w:t>
      </w:r>
    </w:p>
    <w:p>
      <w:pPr>
        <w:spacing w:after="0" w:line="180"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preferences that may be applicable to any then outstanding preferred stock, holders of our common stock are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ratably such dividends, if any, as may be declared from time to time by our board of directors out of legally available funds.</w:t>
      </w:r>
    </w:p>
    <w:p>
      <w:pPr>
        <w:spacing w:after="0" w:line="158" w:lineRule="exact"/>
        <w:rPr>
          <w:sz w:val="20"/>
          <w:szCs w:val="20"/>
          <w:color w:val="auto"/>
        </w:rPr>
      </w:pPr>
    </w:p>
    <w:p>
      <w:pPr>
        <w:jc w:val="both"/>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our liquidation, dissolution or winding up, holders of our common stock will be entitled to share ratably in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73" w:lineRule="exact"/>
        <w:rPr>
          <w:sz w:val="20"/>
          <w:szCs w:val="20"/>
          <w:color w:val="auto"/>
        </w:rPr>
      </w:pPr>
    </w:p>
    <w:p>
      <w:pPr>
        <w:ind w:left="120" w:right="1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Rights and Preferences</w:t>
      </w:r>
      <w:r>
        <w:rPr>
          <w:rFonts w:ascii="Times New Roman" w:cs="Times New Roman" w:eastAsia="Times New Roman" w:hAnsi="Times New Roman"/>
          <w:sz w:val="17"/>
          <w:szCs w:val="17"/>
          <w:color w:val="auto"/>
        </w:rPr>
        <w:t>. Holders of our common stock have no preemptive, conversion, subscription or other rights, and there are no redemption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sinking fund provisions applicable to our common stock. The outstanding shares of our common stock are fully paid and nonassessable.</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of directors has the authority, without further action by our stockholders, to issue up to 100,000,000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has designated 200,000 shares of preferred stock as Series A Preferred Stock. Our Series A Preferred Stock is not registered under Section 12 of the Exchange Act. The following summary of certain terms and provisions of our Series A Preferred Stock is subject to, and qualified in its entirety by reference to, the terms and provisions set forth in our certificate of designation of preferences, rights and limitations of Series A Preferred Stock, which is incorporated by reference as Exhibit 3.5 to the registration statement of which this prospectus forms a part.</w:t>
      </w:r>
    </w:p>
    <w:p>
      <w:pPr>
        <w:spacing w:after="0" w:line="17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share of Series A Preferred Stock is convertible at the option of the holder into 473 shares of common stock;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are not permitted to convert Series A Preferred Stock into common stock if, after conversion, the holder, its affiliates, and any other person whose beneficial ownership of Common Stock would be aggregated with the holder’s for purposes of Section 13(d) or Section 16 of the Exchange Act, would beneficially own more than 9.99% of the number of shares of common stock outstanding immediately after the conversion. By written notice to us, holders of Series A Preferred Stock may from time to time increase or decrease such beneficial ownership limitation to any other percentage not in excess of 19.99% specified in such notice; provided, that any increase in such beneficial ownership limitation will not be effective until the 61st day after such notice is delivered to us.</w:t>
      </w:r>
    </w:p>
    <w:p>
      <w:pPr>
        <w:spacing w:after="0" w:line="183" w:lineRule="exact"/>
        <w:rPr>
          <w:sz w:val="20"/>
          <w:szCs w:val="20"/>
          <w:color w:val="auto"/>
        </w:rPr>
      </w:pPr>
    </w:p>
    <w:p>
      <w:pPr>
        <w:jc w:val="both"/>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Series A Preferred Stock are not entitled to receive any dividends except to the extent that dividends are paid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If dividends are paid on shares of common stock, holders of Series A Preferred Stock are entitled to participate in such dividends on an as-converted basis.</w:t>
      </w:r>
    </w:p>
    <w:p>
      <w:pPr>
        <w:spacing w:after="0" w:line="173"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Upon the liquidation, dissolution, or winding up of us, each holder of Series A Preferred Stock will participate pari passu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proceeds to holders of common stock.</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the Series A Preferred Stock are entitled to vote together with the holders of common stock on an as-if-converted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all matters submitted to a vote of stockholders.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of February 28, 2026, there were outstanding pre-funded warrants to purchase an aggregate of 575,575 shares of our common stock, at a weighted average exercise price of $0.01 per share. In addition, as of February 28, 2026, there were outstanding (i) tranche A warrants (the “Preferred Tranche A Warrants”) to purchase an aggregate of 80,000 shares of our Series A Preferred Stock, which are convertible into 37,840,000 shares of our common stock and (ii) tranche B warrants (the “Preferred Tranche B Warrants”) to purchase an aggregate of 40,000 shares of our Series A Preferred Stock, which are convertible into 18,920,000 shares of our common stock.</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pre-funded warrants, Preferred Tranche A Warrants and Preferred Tranche B Warrants are not registered under Section 12 of the Exchange Act. The following summary of certain terms and provisions of our Preferred Tranche A Warrants and Preferred Tranche B Warrants is subject to, and qualified in its entirety by reference to, the terms and provisions set forth in the Form of Preferred Tranche A Warrant and Form of Preferred Tranche B Warrant, respectively, which are incorporated by reference as Exhibits 4.4 and 4.5, respectively, to the registration statement of which this prospectus forms a part.</w:t>
      </w:r>
    </w:p>
    <w:p>
      <w:pPr>
        <w:spacing w:after="0" w:line="183"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Each Preferred Tranche A Warrant has an exercise price of $1,000 and may only be exercised for cash. The Preferred Tranche A Warrants are immediately exercisable upon issuance until the tenth day following the date of our public announcement that we have achieved, on a statistically significant basis, the primary endpoint of our Phase 3 confirmatory trial of roluperidone in schizophrenia at the 12-week timepoint (the “Milestone Event”).</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Preferred Tranche B Warrant has an exercise price of $1,000 and may be exercised by a cashless exercise. The Preferred Tranche B Warrants are exercisable commencing on the earlier of (i) our public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announcement of the Milestone Event and (ii) October 23, 2028. The Preferred Tranche B Warrants will expire on October 23, 2029.</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Warrants are subject to forfeiture in the event the applicable investor engages in any short sales involving our securities during</w:t>
      </w:r>
    </w:p>
    <w:p>
      <w:pPr>
        <w:spacing w:after="0" w:line="27"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the 48-months period following October 23, 2025. In addition, the shares underlying Tranche B Warrants are subject to reduction if the applicable investor sells or transfers any shares of Series A Preferred Stock or shares of common stock received upon conversion of the Series A Preferred Stock before the Exercisability Date (as defined therein), except to affiliates for no consideration.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Certificate of Incorporation and Bylaws</w:t>
      </w:r>
      <w:r>
        <w:rPr>
          <w:rFonts w:ascii="Times New Roman" w:cs="Times New Roman" w:eastAsia="Times New Roman" w:hAnsi="Times New Roman"/>
          <w:sz w:val="18"/>
          <w:szCs w:val="18"/>
          <w:color w:val="auto"/>
        </w:rPr>
        <w:t>. Our amended and restated certificate of incorporation provides for our board of directors to be divided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and amended and restated bylaws provide that all stockholder action must be effected at a duly called meeting of stockholders and not by a consent in writing, and that only our board of directors or chairman of the board may call a special meeting of stockholders.</w:t>
      </w:r>
    </w:p>
    <w:p>
      <w:pPr>
        <w:spacing w:after="0" w:line="41"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18"/>
          <w:szCs w:val="18"/>
          <w:color w:val="auto"/>
        </w:rPr>
        <w:t>Our amended and restated certificate of incorporation requires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w:t>
      </w:r>
    </w:p>
    <w:p>
      <w:pPr>
        <w:spacing w:after="0" w:line="205"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changes in control of our company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Forum</w:t>
      </w:r>
      <w:r>
        <w:rPr>
          <w:rFonts w:ascii="Times New Roman" w:cs="Times New Roman" w:eastAsia="Times New Roman" w:hAnsi="Times New Roman"/>
          <w:sz w:val="18"/>
          <w:szCs w:val="18"/>
          <w:color w:val="auto"/>
        </w:rPr>
        <w:t>. Our amended and restated bylaws provide that, unless we consent in writing to the selection of an alternative forum, the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Chancery of the State of Delaware will be the sole and exclusive forum for any derivative action or proceeding brought on our behalf, any action asserting a claim of breach of a fiduciary duty owed by any current or former director, officer or other employee or stockholder of the Company to us or our stockholders, any action asserting a claim arising pursuant to any provision of the Delaware General Corporation Law, our amended and restated certificate of incorporation or our amended and restated bylaws or as to which the Delaware General Corporation Law confers jurisdiction on the Court of Chancery of the State of Delaware, or any action asserting a claim governed by the internal affairs doctrine. Our amended and restated certificate of incorporation and our amended and restated bylaws further provide that any person or entity purchasing or</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otherwise acquiring any interest in shares of our capital stock is deemed to have notice of and consented to the foregoing provision. Although our amended and restated certificate of incorporation and our amended and restated bylaws include these provisions, it is possible that a court could rule that such provisions are inapplicable or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Anti-takeover Law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(“Section 203”), an anti-takeover law. In general, Section 203 prohibits a publicly held Delaware corporation from engaging in a business combination with an interested stockholder for a period of three years following the date such person became an interested stockholder, unless the business combination or the transaction in which such person became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including discouraging attempts that might result in a premium over the market price for the shares of common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 Suite 101, Canton, MA 02021. The transfer agent for any series of preferred stock that we may offer under this prospectus will be named and described in the prospectus supplement for that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Nasdaq Capital Market</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“NERV”. The applicable prospectus supplement will contain information, where applicable, as to other listing, if any, on The Nasdaq Capital Market or other securities exchange of the preferred stock covered by such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offer a security that is not registered and described in this prospectus at the time of its effectiveness.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being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number of shares of common stock purchasable upon the exercise of one warrant and the price at which, and the currency in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preferred stock, the number of shares of preferred stock purchasable upon the exercise of one warrant and the price at which, and the currency in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right to receive dividends, if any, or, payments upon our liquidation, dissolution or winding up or to exercise voting rights, if any;</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preferred stock, the right to receive dividends, if any, or, payments upon our liquidation, dissolution or winding up or to exercise voting rights, if any;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 will have rights relating to a global security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 Such offering may be made into an existing trading market for such securities in transactions at other than a fixed price, either:</w:t>
      </w:r>
    </w:p>
    <w:p>
      <w:pPr>
        <w:spacing w:after="0" w:line="112" w:lineRule="exact"/>
        <w:rPr>
          <w:sz w:val="20"/>
          <w:szCs w:val="20"/>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Capital Market or any other securities exchange or quotation or trading service on which such securities may be listed, quoted or traded at the time of sale; and/or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Nasdaq Capital Market or such other securities exchanges or quotation or trading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at-the-market offerings, if any, may be conducted by underwriters acting as principal or agent.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pursuant to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securities. Any public offering price and any discounts or concessions allowed or reallowed or paid to dealers may change from time to time.</w:t>
      </w:r>
    </w:p>
    <w:p>
      <w:pPr>
        <w:spacing w:after="0" w:line="1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55"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use underwriters with whom we have a material relationship. We will describe in the prospectus supplement, naming the underwriter, the nature of any such relationship.</w:t>
      </w:r>
    </w:p>
    <w:p>
      <w:pPr>
        <w:spacing w:after="0" w:line="16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80"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Capital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spacing w:after="0" w:line="18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agents and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Cooley LLP, Boston, Massachusetts will pass upon the validity of the securities offered hereby unless otherwise indicated in the applicable prospectus supplement. Any underwriters will also be advised about the validity of the securities and other legal matters by their own counsel, which will be named in the applicable prospectus supplement.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Minerva Neurosciences,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statements and other information regarding issuers that file electronically with the SEC, including Minerva Neurosciences, Inc. The address of the SEC website is www.sec.gov.</w:t>
      </w:r>
    </w:p>
    <w:p>
      <w:pPr>
        <w:spacing w:after="0" w:line="176"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Copies of certain information filed by us with the SEC are also available on our website at www.minervaneurosciences.com. Information contained in or accessible through our website does not constitute a part of this prospectus and is not incorporated by reference into this prospectus.</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prior to the termination of this offering, including all such reports and documents filed with the SEC after the date of the initial filing of the registration statement of which this prospectus forms a part but prior to the effectiveness of such registration statement:</w:t>
      </w:r>
    </w:p>
    <w:p>
      <w:pPr>
        <w:spacing w:after="0" w:line="94" w:lineRule="exact"/>
        <w:rPr>
          <w:sz w:val="20"/>
          <w:szCs w:val="20"/>
          <w:color w:val="auto"/>
        </w:rPr>
      </w:pPr>
    </w:p>
    <w:p>
      <w:pPr>
        <w:ind w:left="5540" w:right="1460" w:hanging="4884"/>
        <w:spacing w:after="0" w:line="454" w:lineRule="auto"/>
        <w:tabs>
          <w:tab w:leader="none" w:pos="10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11, 2026; 29</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84">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February 3, 2026;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 our registration statement on </w:t>
      </w:r>
      <w:hyperlink r:id="rId8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June 23, 2014, including any amendments or reports filed for the purpose of updating such description, including </w:t>
      </w:r>
      <w:hyperlink r:id="rId3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w:t>
      </w:r>
      <w:hyperlink r:id="rId8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11, 2026.</w:t>
      </w:r>
    </w:p>
    <w:p>
      <w:pPr>
        <w:spacing w:after="0" w:line="176" w:lineRule="exact"/>
        <w:rPr>
          <w:rFonts w:ascii="Times New Roman" w:cs="Times New Roman" w:eastAsia="Times New Roman" w:hAnsi="Times New Roman"/>
          <w:sz w:val="18"/>
          <w:szCs w:val="18"/>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1500 District Avenue Burlington, MA 01803, or by telephoning us at (617) 600-7373.</w:t>
      </w:r>
    </w:p>
    <w:p>
      <w:pPr>
        <w:spacing w:after="0" w:line="180" w:lineRule="exact"/>
        <w:rPr>
          <w:rFonts w:ascii="Times New Roman" w:cs="Times New Roman" w:eastAsia="Times New Roman" w:hAnsi="Times New Roman"/>
          <w:sz w:val="18"/>
          <w:szCs w:val="18"/>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652780</wp:posOffset>
            </wp:positionV>
            <wp:extent cx="2794635" cy="754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2794635" cy="75438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$75,000,000</w:t>
      </w:r>
    </w:p>
    <w:p>
      <w:pPr>
        <w:spacing w:after="0" w:line="2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1678940</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9"/>
          <w:szCs w:val="29"/>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4"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jpe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3"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jpe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32" Type="http://schemas.openxmlformats.org/officeDocument/2006/relationships/hyperlink" Target="http://www.sec.gov/ix?doc=/Archives/edgar/data/0001598646/000119312526101117/nerv-20251231.htm" TargetMode="External"/><Relationship Id="rId33" Type="http://schemas.openxmlformats.org/officeDocument/2006/relationships/hyperlink" Target="http://www.sec.gov/ix?doc=/Archives/edgar/data/0001598646/000119312526171799/d113727ddef14a.htm" TargetMode="External"/><Relationship Id="rId35" Type="http://schemas.openxmlformats.org/officeDocument/2006/relationships/hyperlink" Target="http://www.sec.gov/Archives/edgar/data/1598646/000119312526205182/nerv-20260331.htm" TargetMode="External"/><Relationship Id="rId36" Type="http://schemas.openxmlformats.org/officeDocument/2006/relationships/hyperlink" Target="http://www.sec.gov/ix?doc=/Archives/edgar/data/0001598646/000119312526034538/d896733d8k.htm" TargetMode="External"/><Relationship Id="rId37" Type="http://schemas.openxmlformats.org/officeDocument/2006/relationships/hyperlink" Target="http://www.sec.gov/ix?doc=/Archives/edgar/data/0001598646/000119312526140148/d143634d8k.htm" TargetMode="External"/><Relationship Id="rId38" Type="http://schemas.openxmlformats.org/officeDocument/2006/relationships/hyperlink" Target="http://www.sec.gov/ix?doc=/Archives/edgar/data/0001598646/000119312526143986/d41477d8k.htm" TargetMode="External"/><Relationship Id="rId39" Type="http://schemas.openxmlformats.org/officeDocument/2006/relationships/hyperlink" Target="http://www.sec.gov/Archives/edgar/data/1598646/000119312526101117/nerv-ex4_2.htm" TargetMode="External"/><Relationship Id="rId82" Type="http://schemas.openxmlformats.org/officeDocument/2006/relationships/hyperlink" Target="http://www.sec.gov/ix?doc=/Archives/edgar/data/1598646/000119312526101117/nerv-20251231.htm" TargetMode="External"/><Relationship Id="rId84" Type="http://schemas.openxmlformats.org/officeDocument/2006/relationships/hyperlink" Target="http://www.sec.gov/ix?doc=/Archives/edgar/data/1598646/000119312526034538/d896733d8k.htm" TargetMode="External"/><Relationship Id="rId85" Type="http://schemas.openxmlformats.org/officeDocument/2006/relationships/hyperlink" Target="http://www.sec.gov/Archives/edgar/data/0001598646/000110465914047783/a14-5380_9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2026-05-27T15:27:27Z</dcterms:created>
  <dcterms:modified xsi:type="dcterms:W3CDTF">2026-05-27T15:27:27Z</dcterms:modified>
</cp:coreProperties>
</file>